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7A7A0" w14:textId="77777777" w:rsidR="008551C0" w:rsidRDefault="00A269E9">
      <w:pPr>
        <w:tabs>
          <w:tab w:val="left" w:pos="567"/>
          <w:tab w:val="left" w:pos="1843"/>
        </w:tabs>
        <w:ind w:firstLine="1800"/>
      </w:pPr>
      <w:r>
        <w:rPr>
          <w:noProof/>
        </w:rPr>
        <w:drawing>
          <wp:anchor distT="0" distB="0" distL="114300" distR="114300" simplePos="0" relativeHeight="251658240" behindDoc="1" locked="0" layoutInCell="1" allowOverlap="1" wp14:anchorId="15FBD1A1" wp14:editId="53E9BC08">
            <wp:simplePos x="0" y="0"/>
            <wp:positionH relativeFrom="page">
              <wp:align>right</wp:align>
            </wp:positionH>
            <wp:positionV relativeFrom="paragraph">
              <wp:posOffset>-612775</wp:posOffset>
            </wp:positionV>
            <wp:extent cx="7543800" cy="10659745"/>
            <wp:effectExtent l="0" t="0" r="0" b="8255"/>
            <wp:wrapNone/>
            <wp:docPr id="4"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5F767F90" w14:textId="77777777" w:rsidR="008551C0" w:rsidRDefault="008551C0"/>
    <w:p w14:paraId="60089A5E" w14:textId="77777777" w:rsidR="008551C0" w:rsidRDefault="008551C0"/>
    <w:p w14:paraId="4516E6EF" w14:textId="77777777" w:rsidR="008551C0" w:rsidRDefault="008551C0"/>
    <w:p w14:paraId="1AA6300D" w14:textId="77777777" w:rsidR="008551C0" w:rsidRDefault="008551C0"/>
    <w:p w14:paraId="748E124D" w14:textId="77777777" w:rsidR="008551C0" w:rsidRDefault="008551C0"/>
    <w:p w14:paraId="0960FAEE" w14:textId="77777777" w:rsidR="008551C0" w:rsidRDefault="008551C0">
      <w:pPr>
        <w:ind w:hanging="1800"/>
      </w:pPr>
    </w:p>
    <w:p w14:paraId="68871FC0" w14:textId="77777777" w:rsidR="008551C0" w:rsidRDefault="008551C0"/>
    <w:p w14:paraId="22D9F7CC" w14:textId="77777777" w:rsidR="008551C0" w:rsidRDefault="008551C0"/>
    <w:p w14:paraId="1F0407EE" w14:textId="77777777" w:rsidR="008551C0" w:rsidRDefault="00A269E9">
      <w:pPr>
        <w:rPr>
          <w:rFonts w:ascii="Arial" w:hAnsi="Arial" w:cs="Arial"/>
          <w:b/>
          <w:bCs/>
          <w:sz w:val="40"/>
          <w:szCs w:val="40"/>
        </w:rPr>
      </w:pPr>
      <w:r>
        <w:rPr>
          <w:rFonts w:ascii="Arial" w:hAnsi="Arial" w:cs="Arial"/>
          <w:b/>
          <w:bCs/>
          <w:sz w:val="40"/>
          <w:szCs w:val="40"/>
        </w:rPr>
        <w:t xml:space="preserve">  </w:t>
      </w:r>
    </w:p>
    <w:p w14:paraId="78B0FF7D" w14:textId="77777777" w:rsidR="008551C0" w:rsidRDefault="00A269E9">
      <w:pPr>
        <w:rPr>
          <w:rFonts w:ascii="Arial" w:hAnsi="Arial" w:cs="Arial"/>
          <w:b/>
          <w:bCs/>
          <w:sz w:val="40"/>
          <w:szCs w:val="40"/>
        </w:rPr>
      </w:pPr>
      <w:r>
        <w:rPr>
          <w:rFonts w:ascii="Arial" w:hAnsi="Arial" w:cs="Arial"/>
          <w:b/>
          <w:bCs/>
          <w:sz w:val="40"/>
          <w:szCs w:val="40"/>
        </w:rPr>
        <w:t xml:space="preserve">    </w:t>
      </w:r>
    </w:p>
    <w:p w14:paraId="394649EF" w14:textId="77777777" w:rsidR="008551C0" w:rsidRDefault="008551C0">
      <w:pPr>
        <w:rPr>
          <w:rFonts w:ascii="Arial" w:hAnsi="Arial" w:cs="Arial"/>
          <w:b/>
          <w:bCs/>
          <w:sz w:val="40"/>
          <w:szCs w:val="40"/>
        </w:rPr>
      </w:pPr>
    </w:p>
    <w:p w14:paraId="588F227A" w14:textId="77777777" w:rsidR="008551C0" w:rsidRDefault="008551C0">
      <w:pPr>
        <w:rPr>
          <w:rFonts w:ascii="Arial" w:hAnsi="Arial" w:cs="Arial"/>
          <w:b/>
          <w:bCs/>
          <w:sz w:val="40"/>
          <w:szCs w:val="40"/>
        </w:rPr>
      </w:pPr>
    </w:p>
    <w:p w14:paraId="062A7532" w14:textId="77777777" w:rsidR="008551C0" w:rsidRDefault="008551C0">
      <w:pPr>
        <w:rPr>
          <w:rFonts w:ascii="Arial" w:hAnsi="Arial" w:cs="Arial"/>
          <w:b/>
          <w:bCs/>
          <w:sz w:val="40"/>
          <w:szCs w:val="40"/>
        </w:rPr>
      </w:pPr>
    </w:p>
    <w:p w14:paraId="35138D8B" w14:textId="3B4E09B5" w:rsidR="008551C0" w:rsidRDefault="00A269E9" w:rsidP="00612B6E">
      <w:pPr>
        <w:rPr>
          <w:rFonts w:ascii="Arial" w:hAnsi="Arial" w:cs="Arial"/>
          <w:b/>
          <w:bCs/>
          <w:color w:val="00115D"/>
          <w:sz w:val="40"/>
          <w:szCs w:val="40"/>
        </w:rPr>
      </w:pPr>
      <w:r>
        <w:rPr>
          <w:rFonts w:ascii="Arial" w:hAnsi="Arial" w:cs="Arial"/>
          <w:b/>
          <w:bCs/>
          <w:color w:val="00115D"/>
          <w:sz w:val="40"/>
          <w:szCs w:val="40"/>
        </w:rPr>
        <w:t xml:space="preserve">                    </w:t>
      </w:r>
      <w:r>
        <w:rPr>
          <w:rFonts w:ascii="Arial" w:hAnsi="Arial" w:cs="Arial"/>
          <w:b/>
          <w:bCs/>
          <w:color w:val="210074"/>
          <w:sz w:val="40"/>
          <w:szCs w:val="40"/>
        </w:rPr>
        <w:t xml:space="preserve">Science Engagement Programme </w:t>
      </w:r>
    </w:p>
    <w:p w14:paraId="4A29EDEE" w14:textId="77777777" w:rsidR="008551C0" w:rsidRDefault="00A269E9">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09981907" wp14:editId="2B04D505">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45999489" w14:textId="77777777" w:rsidR="008551C0" w:rsidRDefault="00A269E9">
      <w:pPr>
        <w:ind w:left="2268"/>
        <w:rPr>
          <w:rFonts w:ascii="Arial" w:hAnsi="Arial" w:cs="Arial"/>
          <w:b/>
          <w:bCs/>
          <w:color w:val="210074"/>
          <w:sz w:val="72"/>
          <w:szCs w:val="72"/>
        </w:rPr>
      </w:pPr>
      <w:r>
        <w:rPr>
          <w:rFonts w:ascii="Arial" w:hAnsi="Arial" w:cs="Arial"/>
          <w:b/>
          <w:bCs/>
          <w:color w:val="210074"/>
          <w:sz w:val="72"/>
          <w:szCs w:val="72"/>
        </w:rPr>
        <w:t>Science Communication and</w:t>
      </w:r>
    </w:p>
    <w:p w14:paraId="2FE413C7" w14:textId="77777777" w:rsidR="008551C0" w:rsidRDefault="00A269E9">
      <w:pPr>
        <w:ind w:left="2268"/>
        <w:rPr>
          <w:rFonts w:ascii="Arial" w:hAnsi="Arial" w:cs="Arial"/>
          <w:b/>
          <w:bCs/>
          <w:color w:val="210074"/>
          <w:sz w:val="72"/>
          <w:szCs w:val="72"/>
        </w:rPr>
      </w:pPr>
      <w:r>
        <w:rPr>
          <w:rFonts w:ascii="Arial" w:hAnsi="Arial" w:cs="Arial"/>
          <w:b/>
          <w:bCs/>
          <w:color w:val="210074"/>
          <w:sz w:val="72"/>
          <w:szCs w:val="72"/>
        </w:rPr>
        <w:t xml:space="preserve">Public Engagement Training                                                                                                  </w:t>
      </w:r>
    </w:p>
    <w:p w14:paraId="5BD7821F" w14:textId="77777777" w:rsidR="008551C0" w:rsidRDefault="008551C0"/>
    <w:p w14:paraId="75A7CE61" w14:textId="77777777" w:rsidR="008551C0" w:rsidRDefault="008551C0"/>
    <w:p w14:paraId="41A54764" w14:textId="77777777" w:rsidR="008551C0" w:rsidRDefault="008551C0"/>
    <w:p w14:paraId="7CB08D62" w14:textId="77777777" w:rsidR="008551C0" w:rsidRDefault="008551C0"/>
    <w:p w14:paraId="1C2CE270" w14:textId="77777777" w:rsidR="008551C0" w:rsidRDefault="008551C0"/>
    <w:p w14:paraId="00F7A3A8" w14:textId="77777777" w:rsidR="008551C0" w:rsidRDefault="008551C0"/>
    <w:p w14:paraId="374E03A7" w14:textId="77777777" w:rsidR="008551C0" w:rsidRDefault="008551C0"/>
    <w:p w14:paraId="46EEEA2C" w14:textId="77777777" w:rsidR="008551C0" w:rsidRDefault="008551C0"/>
    <w:p w14:paraId="569A6A62" w14:textId="77777777" w:rsidR="008551C0" w:rsidRDefault="008551C0"/>
    <w:p w14:paraId="7CF0079E" w14:textId="77777777" w:rsidR="008551C0" w:rsidRDefault="008551C0"/>
    <w:p w14:paraId="1F612652" w14:textId="77777777" w:rsidR="008551C0" w:rsidRDefault="008551C0"/>
    <w:p w14:paraId="6D07DD3F" w14:textId="77777777" w:rsidR="008551C0" w:rsidRDefault="008551C0"/>
    <w:p w14:paraId="61BFA256" w14:textId="77777777" w:rsidR="008551C0" w:rsidRDefault="008551C0">
      <w:pPr>
        <w:sectPr w:rsidR="008551C0">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0FC39F2D" w14:textId="77777777" w:rsidR="008551C0" w:rsidRDefault="00A269E9">
      <w:pPr>
        <w:pStyle w:val="HeadingA"/>
        <w:spacing w:before="360"/>
        <w:jc w:val="center"/>
        <w:rPr>
          <w:b w:val="0"/>
          <w:bCs/>
        </w:rPr>
      </w:pPr>
      <w:r>
        <w:rPr>
          <w:b w:val="0"/>
          <w:bCs/>
        </w:rPr>
        <w:lastRenderedPageBreak/>
        <w:t>Call for Applications</w:t>
      </w:r>
    </w:p>
    <w:p w14:paraId="5EBE4455" w14:textId="77777777" w:rsidR="008551C0" w:rsidRDefault="00A269E9">
      <w:pPr>
        <w:pStyle w:val="HeadingA"/>
        <w:spacing w:before="360"/>
        <w:ind w:left="-994"/>
        <w:jc w:val="center"/>
      </w:pPr>
      <w:r>
        <w:t>Online Science Communication and Public Engagement Training Programme</w:t>
      </w:r>
    </w:p>
    <w:p w14:paraId="4450598E" w14:textId="77777777" w:rsidR="008551C0" w:rsidRDefault="00A269E9">
      <w:pPr>
        <w:pStyle w:val="HeadingA"/>
        <w:spacing w:before="360"/>
        <w:ind w:left="-994" w:firstLine="1"/>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Science Communication and Public Engagement Training Programme. The programme will be delivered in cooperation with the </w:t>
      </w:r>
      <w:r>
        <w:rPr>
          <w:rFonts w:eastAsia="Calibri" w:cs="Arial"/>
          <w:sz w:val="24"/>
        </w:rPr>
        <w:t>University of West England</w:t>
      </w:r>
      <w:r>
        <w:rPr>
          <w:rFonts w:eastAsia="Calibri" w:cs="Arial"/>
          <w:b w:val="0"/>
          <w:bCs/>
          <w:sz w:val="24"/>
        </w:rPr>
        <w:t xml:space="preserve"> (Bristol) and the </w:t>
      </w:r>
      <w:r>
        <w:rPr>
          <w:rFonts w:eastAsia="Calibri" w:cs="Arial"/>
          <w:sz w:val="24"/>
        </w:rPr>
        <w:t>ThinkWrite</w:t>
      </w:r>
      <w:r>
        <w:rPr>
          <w:rFonts w:eastAsia="Calibri" w:cs="Arial"/>
          <w:b w:val="0"/>
          <w:bCs/>
          <w:sz w:val="24"/>
        </w:rPr>
        <w:t xml:space="preserve"> organisation. </w:t>
      </w:r>
    </w:p>
    <w:p w14:paraId="59886CE8" w14:textId="77777777" w:rsidR="008551C0" w:rsidRDefault="00A269E9">
      <w:pPr>
        <w:pStyle w:val="HeadingA"/>
        <w:spacing w:before="360"/>
        <w:ind w:left="-994"/>
        <w:rPr>
          <w:sz w:val="28"/>
          <w:szCs w:val="28"/>
        </w:rPr>
      </w:pPr>
      <w:r>
        <w:rPr>
          <w:sz w:val="28"/>
          <w:szCs w:val="28"/>
        </w:rPr>
        <w:t xml:space="preserve">Programme Description </w:t>
      </w:r>
    </w:p>
    <w:p w14:paraId="61C6F5B1" w14:textId="77777777" w:rsidR="008551C0" w:rsidRDefault="00A269E9">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programme aims to improve the capabilities of early career researchers to effectively communicate science and engage with wider public. </w:t>
      </w:r>
    </w:p>
    <w:p w14:paraId="28CC7958" w14:textId="77777777" w:rsidR="008551C0" w:rsidRDefault="008551C0">
      <w:pPr>
        <w:spacing w:line="276" w:lineRule="auto"/>
        <w:jc w:val="both"/>
        <w:rPr>
          <w:rFonts w:ascii="Arial" w:eastAsia="Calibri" w:hAnsi="Arial" w:cs="Arial"/>
          <w:bCs/>
          <w:color w:val="23085A"/>
          <w:sz w:val="22"/>
          <w:szCs w:val="22"/>
          <w:lang w:val="en-GB"/>
        </w:rPr>
      </w:pPr>
    </w:p>
    <w:p w14:paraId="4757E9FA" w14:textId="77777777" w:rsidR="008551C0" w:rsidRDefault="00A269E9">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be trained in three main areas of science communication: a theoretical/foundational module which focuses on the underpinning theories and rationales for science communication, a practical module which looks at tools and techniques for science communication, and a final piece of work in which the early career researchers put into practice some of the learning from the earlier two modules to deliver a piece of science communication relevant to their research. More specifically, training modules are as follows:  </w:t>
      </w:r>
    </w:p>
    <w:p w14:paraId="12B800D4" w14:textId="77777777" w:rsidR="008551C0" w:rsidRDefault="008551C0">
      <w:pPr>
        <w:jc w:val="both"/>
        <w:rPr>
          <w:rFonts w:ascii="Arial" w:hAnsi="Arial" w:cs="Arial"/>
          <w:lang w:val="en-GB"/>
        </w:rPr>
      </w:pPr>
    </w:p>
    <w:p w14:paraId="380472CC" w14:textId="77777777" w:rsidR="008551C0" w:rsidRDefault="00A269E9">
      <w:pPr>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Times New Roman" w:hAnsi="Arial" w:cs="Arial"/>
          <w:b/>
          <w:bCs/>
          <w:color w:val="000000"/>
          <w:sz w:val="21"/>
          <w:szCs w:val="21"/>
          <w:lang w:val="en-GB" w:eastAsia="ru-RU"/>
        </w:rPr>
        <w:t xml:space="preserve"> </w:t>
      </w:r>
      <w:r>
        <w:rPr>
          <w:rFonts w:ascii="Arial" w:eastAsia="Calibri" w:hAnsi="Arial" w:cs="Arial"/>
          <w:bCs/>
          <w:color w:val="23085A"/>
          <w:sz w:val="22"/>
          <w:szCs w:val="22"/>
          <w:lang w:val="en-GB"/>
        </w:rPr>
        <w:t xml:space="preserve">Introduction to science communication, underpinning rationale </w:t>
      </w:r>
    </w:p>
    <w:p w14:paraId="1DB4D547" w14:textId="77777777" w:rsidR="008551C0" w:rsidRDefault="008551C0">
      <w:pPr>
        <w:jc w:val="both"/>
        <w:rPr>
          <w:rFonts w:ascii="Arial" w:eastAsia="Times New Roman" w:hAnsi="Arial" w:cs="Arial"/>
          <w:color w:val="000000"/>
          <w:sz w:val="21"/>
          <w:szCs w:val="21"/>
          <w:lang w:val="en-GB" w:eastAsia="ru-RU"/>
        </w:rPr>
      </w:pPr>
    </w:p>
    <w:p w14:paraId="3D66BE1D" w14:textId="77777777" w:rsidR="008551C0" w:rsidRDefault="00A269E9">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history of science communication and public engagement, including deficit model approaches, engagement approaches and responsible research and innovation. It will present a model for approaching public engagement, developed by ThinkWrite. The module will also explore conceptions of public audiences and what this means in relation to public engagement with science, as well as take a specific look at how to communicate to sceptical and potentially hostile audiences. </w:t>
      </w:r>
    </w:p>
    <w:p w14:paraId="299836A7" w14:textId="77777777" w:rsidR="008551C0" w:rsidRDefault="008551C0">
      <w:pPr>
        <w:jc w:val="both"/>
        <w:rPr>
          <w:rFonts w:ascii="Arial" w:hAnsi="Arial" w:cs="Arial"/>
          <w:lang w:val="en-GB"/>
        </w:rPr>
      </w:pPr>
    </w:p>
    <w:p w14:paraId="4F756F85" w14:textId="77777777" w:rsidR="008551C0" w:rsidRDefault="008551C0">
      <w:pPr>
        <w:jc w:val="both"/>
        <w:rPr>
          <w:rFonts w:ascii="Arial" w:eastAsia="Calibri" w:hAnsi="Arial" w:cs="Arial"/>
          <w:b/>
          <w:color w:val="23085A"/>
          <w:sz w:val="22"/>
          <w:szCs w:val="22"/>
          <w:lang w:val="en-GB"/>
        </w:rPr>
      </w:pPr>
    </w:p>
    <w:p w14:paraId="67442CC3" w14:textId="77777777" w:rsidR="008551C0" w:rsidRDefault="008551C0">
      <w:pPr>
        <w:jc w:val="both"/>
        <w:rPr>
          <w:rFonts w:ascii="Arial" w:eastAsia="Calibri" w:hAnsi="Arial" w:cs="Arial"/>
          <w:b/>
          <w:color w:val="23085A"/>
          <w:sz w:val="22"/>
          <w:szCs w:val="22"/>
          <w:lang w:val="en-GB"/>
        </w:rPr>
      </w:pPr>
    </w:p>
    <w:p w14:paraId="3D7620D0" w14:textId="77777777" w:rsidR="008551C0" w:rsidRDefault="00A269E9">
      <w:pPr>
        <w:jc w:val="both"/>
        <w:rPr>
          <w:rFonts w:ascii="Arial" w:eastAsia="Times New Roman" w:hAnsi="Arial" w:cs="Arial"/>
          <w:color w:val="000000"/>
          <w:sz w:val="21"/>
          <w:szCs w:val="21"/>
          <w:lang w:val="en-GB" w:eastAsia="ru-RU"/>
        </w:rPr>
      </w:pPr>
      <w:r>
        <w:rPr>
          <w:rFonts w:ascii="Arial" w:eastAsia="Calibri" w:hAnsi="Arial" w:cs="Arial"/>
          <w:b/>
          <w:color w:val="23085A"/>
          <w:sz w:val="22"/>
          <w:szCs w:val="22"/>
          <w:lang w:val="en-GB"/>
        </w:rPr>
        <w:lastRenderedPageBreak/>
        <w:t>Module Two:</w:t>
      </w:r>
      <w:r>
        <w:rPr>
          <w:rFonts w:ascii="Arial" w:eastAsia="Times New Roman" w:hAnsi="Arial" w:cs="Arial"/>
          <w:color w:val="000000"/>
          <w:sz w:val="21"/>
          <w:szCs w:val="21"/>
          <w:lang w:val="en-GB" w:eastAsia="ru-RU"/>
        </w:rPr>
        <w:t xml:space="preserve"> </w:t>
      </w:r>
      <w:r>
        <w:rPr>
          <w:rFonts w:ascii="Arial" w:eastAsia="Calibri" w:hAnsi="Arial" w:cs="Arial"/>
          <w:bCs/>
          <w:color w:val="23085A"/>
          <w:sz w:val="22"/>
          <w:szCs w:val="22"/>
          <w:lang w:val="en-GB"/>
        </w:rPr>
        <w:t>Science communication – practical approaches and skills</w:t>
      </w:r>
    </w:p>
    <w:p w14:paraId="77D59B95" w14:textId="77777777" w:rsidR="008551C0" w:rsidRDefault="008551C0">
      <w:pPr>
        <w:jc w:val="both"/>
        <w:rPr>
          <w:rFonts w:ascii="Arial" w:hAnsi="Arial" w:cs="Arial"/>
          <w:lang w:val="en-GB"/>
        </w:rPr>
      </w:pPr>
    </w:p>
    <w:p w14:paraId="58BEA308" w14:textId="77777777" w:rsidR="008551C0" w:rsidRDefault="00A269E9">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second module, participants will explore practical approaches to science communication. This will include working with traditional media, science writing skills (blogs and press releases), social media skills, visual communication techniques, podcasting and online media, public speaking and policy communications.  </w:t>
      </w:r>
    </w:p>
    <w:p w14:paraId="24814625" w14:textId="77777777" w:rsidR="008551C0" w:rsidRDefault="008551C0">
      <w:pPr>
        <w:autoSpaceDE w:val="0"/>
        <w:autoSpaceDN w:val="0"/>
        <w:adjustRightInd w:val="0"/>
        <w:rPr>
          <w:rFonts w:ascii="Calibri" w:eastAsia="SimSun" w:hAnsi="Calibri" w:cs="Calibri"/>
          <w:sz w:val="22"/>
          <w:szCs w:val="22"/>
          <w:lang w:val="en-GB" w:eastAsia="en-GB"/>
        </w:rPr>
      </w:pPr>
    </w:p>
    <w:p w14:paraId="0E6CC3EC" w14:textId="77777777" w:rsidR="008551C0" w:rsidRDefault="00A269E9">
      <w:pPr>
        <w:autoSpaceDE w:val="0"/>
        <w:autoSpaceDN w:val="0"/>
        <w:adjustRightInd w:val="0"/>
        <w:rPr>
          <w:rFonts w:ascii="Arial" w:eastAsia="SimSun" w:hAnsi="Arial" w:cs="Arial"/>
          <w:sz w:val="21"/>
          <w:szCs w:val="21"/>
          <w:lang w:val="en-GB" w:eastAsia="en-GB"/>
        </w:rPr>
      </w:pPr>
      <w:r>
        <w:rPr>
          <w:rFonts w:ascii="Arial" w:eastAsia="Calibri" w:hAnsi="Arial" w:cs="Arial"/>
          <w:b/>
          <w:color w:val="23085A"/>
          <w:sz w:val="22"/>
          <w:szCs w:val="22"/>
          <w:lang w:val="en-GB"/>
        </w:rPr>
        <w:t>Module Three</w:t>
      </w:r>
      <w:r>
        <w:rPr>
          <w:rFonts w:ascii="Arial" w:eastAsia="SimSun" w:hAnsi="Arial" w:cs="Arial"/>
          <w:sz w:val="21"/>
          <w:szCs w:val="21"/>
          <w:lang w:val="en-GB" w:eastAsia="en-GB"/>
        </w:rPr>
        <w:t xml:space="preserve">: </w:t>
      </w:r>
      <w:r>
        <w:rPr>
          <w:rFonts w:ascii="Arial" w:eastAsia="Calibri" w:hAnsi="Arial" w:cs="Arial"/>
          <w:bCs/>
          <w:color w:val="23085A"/>
          <w:sz w:val="22"/>
          <w:szCs w:val="22"/>
          <w:lang w:val="en-GB"/>
        </w:rPr>
        <w:t>Science communication practical project</w:t>
      </w:r>
    </w:p>
    <w:p w14:paraId="7DA4FD56" w14:textId="77777777" w:rsidR="008551C0" w:rsidRDefault="008551C0">
      <w:pPr>
        <w:autoSpaceDE w:val="0"/>
        <w:autoSpaceDN w:val="0"/>
        <w:adjustRightInd w:val="0"/>
        <w:rPr>
          <w:rFonts w:ascii="Arial" w:eastAsia="SimSun" w:hAnsi="Arial" w:cs="Arial"/>
          <w:sz w:val="21"/>
          <w:szCs w:val="21"/>
          <w:lang w:val="en-GB" w:eastAsia="en-GB"/>
        </w:rPr>
      </w:pPr>
    </w:p>
    <w:p w14:paraId="3D97CCD2" w14:textId="77777777" w:rsidR="008551C0" w:rsidRDefault="00A269E9">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final module will comprise creation and delivery of a science communication intervention chosen by individual participants and relevant to their own work. This practical element will be supported by 5-10 hours of pre-recorded content, covering aspects of planning, management and evaluation. Within this module, collaboration opportunities with media outlets in Serbia will be offered.  </w:t>
      </w:r>
    </w:p>
    <w:p w14:paraId="03996271" w14:textId="77777777" w:rsidR="008551C0" w:rsidRDefault="00A269E9">
      <w:pPr>
        <w:pStyle w:val="HeadingA"/>
        <w:spacing w:before="360"/>
        <w:ind w:left="-994"/>
        <w:rPr>
          <w:sz w:val="28"/>
          <w:szCs w:val="28"/>
        </w:rPr>
      </w:pPr>
      <w:r>
        <w:rPr>
          <w:sz w:val="28"/>
          <w:szCs w:val="28"/>
        </w:rPr>
        <w:t xml:space="preserve">Training Schedule  </w:t>
      </w:r>
    </w:p>
    <w:p w14:paraId="2E624DD6" w14:textId="77777777" w:rsidR="008551C0" w:rsidRDefault="00A269E9">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12-week training programme is offered as online-live sessions, delivered each week during the period mid-December to mid-March. The training programme is expected to start during the week of December 7. The sessions will vary in length from 1.5 hrs to 3 hrs. You can expect to have 4.5 hrs of contact time in December, with the remainder of the course delivered between mid-January – mid March. </w:t>
      </w:r>
    </w:p>
    <w:p w14:paraId="0C50DAD8" w14:textId="77777777" w:rsidR="008551C0" w:rsidRDefault="00A269E9">
      <w:pPr>
        <w:pStyle w:val="HeadingA"/>
        <w:spacing w:before="360"/>
        <w:ind w:left="-994"/>
        <w:rPr>
          <w:sz w:val="28"/>
          <w:szCs w:val="28"/>
        </w:rPr>
      </w:pPr>
      <w:r>
        <w:rPr>
          <w:sz w:val="28"/>
          <w:szCs w:val="28"/>
        </w:rPr>
        <w:t>Eligibility</w:t>
      </w:r>
    </w:p>
    <w:p w14:paraId="14E84A9E"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Serbia and be fluent in English as all training modules will be held in English language. Applicants across all disciplines are welcomed to apply. </w:t>
      </w:r>
    </w:p>
    <w:p w14:paraId="2E834114" w14:textId="77777777" w:rsidR="008551C0" w:rsidRDefault="00A269E9">
      <w:pPr>
        <w:pStyle w:val="HeadingA"/>
        <w:spacing w:before="360"/>
        <w:ind w:left="-994"/>
        <w:rPr>
          <w:sz w:val="28"/>
          <w:szCs w:val="28"/>
        </w:rPr>
      </w:pPr>
      <w:r>
        <w:rPr>
          <w:sz w:val="28"/>
          <w:szCs w:val="28"/>
        </w:rPr>
        <w:t>Quality Assessment Criteria</w:t>
      </w:r>
    </w:p>
    <w:p w14:paraId="7C646026"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31C98160"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application form.</w:t>
      </w:r>
    </w:p>
    <w:p w14:paraId="1A750530" w14:textId="77777777" w:rsidR="008551C0" w:rsidRDefault="008551C0">
      <w:pPr>
        <w:spacing w:after="160" w:line="259" w:lineRule="auto"/>
        <w:rPr>
          <w:rFonts w:ascii="Arial" w:eastAsia="Calibri" w:hAnsi="Arial" w:cs="Arial"/>
          <w:bCs/>
          <w:color w:val="23085A"/>
          <w:sz w:val="22"/>
          <w:szCs w:val="22"/>
          <w:lang w:val="en-GB"/>
        </w:rPr>
      </w:pPr>
    </w:p>
    <w:p w14:paraId="1654B697" w14:textId="77777777" w:rsidR="008551C0" w:rsidRDefault="008551C0">
      <w:pPr>
        <w:spacing w:after="160" w:line="259" w:lineRule="auto"/>
        <w:rPr>
          <w:rFonts w:ascii="Arial" w:eastAsia="Calibri" w:hAnsi="Arial" w:cs="Arial"/>
          <w:bCs/>
          <w:color w:val="23085A"/>
          <w:sz w:val="22"/>
          <w:szCs w:val="22"/>
          <w:lang w:val="en-GB"/>
        </w:rPr>
      </w:pPr>
    </w:p>
    <w:p w14:paraId="4AED8284" w14:textId="77777777" w:rsidR="008551C0" w:rsidRDefault="00A269E9">
      <w:pPr>
        <w:pStyle w:val="HeadingA"/>
        <w:spacing w:before="360"/>
        <w:ind w:left="-994"/>
        <w:rPr>
          <w:sz w:val="28"/>
          <w:szCs w:val="28"/>
        </w:rPr>
      </w:pPr>
      <w:r>
        <w:rPr>
          <w:sz w:val="28"/>
          <w:szCs w:val="28"/>
        </w:rPr>
        <w:lastRenderedPageBreak/>
        <w:t>Application Form</w:t>
      </w:r>
    </w:p>
    <w:p w14:paraId="14B4DC9F"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To apply, please fill in the application form</w:t>
      </w:r>
      <w:r>
        <w:rPr>
          <w:rFonts w:ascii="Arial" w:eastAsia="Calibri" w:hAnsi="Arial" w:cs="Arial"/>
          <w:b/>
          <w:color w:val="23085A"/>
          <w:sz w:val="28"/>
          <w:szCs w:val="28"/>
          <w:lang w:val="en-GB"/>
        </w:rPr>
        <w:t xml:space="preserve"> </w:t>
      </w:r>
      <w:r>
        <w:rPr>
          <w:rFonts w:ascii="Arial" w:eastAsia="Calibri" w:hAnsi="Arial" w:cs="Arial"/>
          <w:bCs/>
          <w:color w:val="23085A"/>
          <w:sz w:val="22"/>
          <w:szCs w:val="22"/>
          <w:lang w:val="en-GB"/>
        </w:rPr>
        <w:t xml:space="preserve">and send alongside the CV to </w:t>
      </w:r>
      <w:hyperlink r:id="rId18" w:history="1">
        <w:r>
          <w:rPr>
            <w:rStyle w:val="Hyperlink"/>
            <w:rFonts w:ascii="Arial" w:eastAsia="Calibri" w:hAnsi="Arial" w:cs="Arial"/>
            <w:bCs/>
            <w:sz w:val="22"/>
            <w:szCs w:val="22"/>
            <w:lang w:val="en-GB"/>
          </w:rPr>
          <w:t>katarina.cezek@britishcouncil.org</w:t>
        </w:r>
      </w:hyperlink>
      <w:r>
        <w:rPr>
          <w:rFonts w:ascii="Arial" w:eastAsia="Calibri" w:hAnsi="Arial" w:cs="Arial"/>
          <w:bCs/>
          <w:color w:val="23085A"/>
          <w:sz w:val="22"/>
          <w:szCs w:val="22"/>
          <w:lang w:val="en-GB"/>
        </w:rPr>
        <w:t>.</w:t>
      </w:r>
    </w:p>
    <w:p w14:paraId="79806AFE" w14:textId="77777777" w:rsidR="008551C0" w:rsidRDefault="008551C0">
      <w:pPr>
        <w:spacing w:after="160" w:line="259" w:lineRule="auto"/>
        <w:rPr>
          <w:rFonts w:ascii="Arial" w:eastAsia="Calibri" w:hAnsi="Arial" w:cs="Arial"/>
          <w:bCs/>
          <w:color w:val="23085A"/>
          <w:sz w:val="4"/>
          <w:szCs w:val="4"/>
          <w:lang w:val="en-GB"/>
        </w:rPr>
      </w:pPr>
    </w:p>
    <w:p w14:paraId="4E958B0F" w14:textId="5963061A" w:rsidR="008551C0" w:rsidRDefault="00DF6133">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46EDF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Exch.Document.DC" ShapeID="_x0000_i1025" DrawAspect="Icon" ObjectID="_1667037924" r:id="rId20"/>
        </w:object>
      </w:r>
    </w:p>
    <w:p w14:paraId="5A0490CB" w14:textId="204F6832"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612B6E">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612B6E">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7C33AD7C" w14:textId="77777777" w:rsidR="008551C0" w:rsidRDefault="00A269E9">
      <w:pPr>
        <w:pStyle w:val="HeadingA"/>
        <w:spacing w:before="360"/>
        <w:ind w:left="-994"/>
        <w:rPr>
          <w:sz w:val="28"/>
          <w:szCs w:val="28"/>
        </w:rPr>
      </w:pPr>
      <w:r>
        <w:rPr>
          <w:sz w:val="28"/>
          <w:szCs w:val="28"/>
        </w:rPr>
        <w:t xml:space="preserve">Notification of Results: </w:t>
      </w:r>
    </w:p>
    <w:p w14:paraId="659363E8" w14:textId="77777777" w:rsidR="008551C0" w:rsidRDefault="00A269E9">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626CB0D8" w14:textId="77777777" w:rsidR="008551C0" w:rsidRDefault="00A269E9">
      <w:pPr>
        <w:pStyle w:val="HeadingA"/>
        <w:spacing w:before="360"/>
        <w:ind w:left="-994"/>
        <w:rPr>
          <w:sz w:val="28"/>
          <w:szCs w:val="28"/>
        </w:rPr>
      </w:pPr>
      <w:r>
        <w:rPr>
          <w:sz w:val="28"/>
          <w:szCs w:val="28"/>
        </w:rPr>
        <w:t>Equal Opportunities </w:t>
      </w:r>
    </w:p>
    <w:p w14:paraId="7EC92814" w14:textId="77777777" w:rsidR="008551C0" w:rsidRDefault="00A269E9">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061390C3" w14:textId="77777777" w:rsidR="008551C0" w:rsidRDefault="00A269E9">
      <w:pPr>
        <w:pStyle w:val="HeadingA"/>
        <w:spacing w:before="360"/>
        <w:ind w:left="-994"/>
        <w:rPr>
          <w:sz w:val="28"/>
          <w:szCs w:val="28"/>
        </w:rPr>
      </w:pPr>
      <w:r>
        <w:rPr>
          <w:sz w:val="28"/>
          <w:szCs w:val="28"/>
        </w:rPr>
        <w:t>Additional Information</w:t>
      </w:r>
    </w:p>
    <w:p w14:paraId="37A5484E"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5AD3AC67"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www.britishcouncil.rs</w:t>
        </w:r>
      </w:hyperlink>
      <w:r>
        <w:rPr>
          <w:rFonts w:ascii="Arial" w:eastAsia="Calibri" w:hAnsi="Arial" w:cs="Arial"/>
          <w:bCs/>
          <w:color w:val="23085A"/>
          <w:sz w:val="22"/>
          <w:szCs w:val="22"/>
          <w:lang w:val="en-GB"/>
        </w:rPr>
        <w:t xml:space="preserve">. </w:t>
      </w:r>
    </w:p>
    <w:p w14:paraId="0589E3FB" w14:textId="77777777" w:rsidR="008551C0" w:rsidRDefault="00A269E9">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katarina.cezek@britishcouncil.org</w:t>
        </w:r>
      </w:hyperlink>
      <w:r>
        <w:rPr>
          <w:rFonts w:ascii="Arial" w:eastAsia="Calibri" w:hAnsi="Arial" w:cs="Arial"/>
          <w:bCs/>
          <w:color w:val="23085A"/>
          <w:sz w:val="22"/>
          <w:szCs w:val="22"/>
          <w:lang w:val="en-GB"/>
        </w:rPr>
        <w:t>.</w:t>
      </w:r>
    </w:p>
    <w:sectPr w:rsidR="008551C0">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C9F15" w14:textId="77777777" w:rsidR="00A269E9" w:rsidRDefault="00A269E9">
      <w:r>
        <w:separator/>
      </w:r>
    </w:p>
  </w:endnote>
  <w:endnote w:type="continuationSeparator" w:id="0">
    <w:p w14:paraId="3210DEB7" w14:textId="77777777" w:rsidR="00A269E9" w:rsidRDefault="00A269E9">
      <w:r>
        <w:continuationSeparator/>
      </w:r>
    </w:p>
  </w:endnote>
  <w:endnote w:type="continuationNotice" w:id="1">
    <w:p w14:paraId="56ADA0B3" w14:textId="77777777" w:rsidR="00A269E9" w:rsidRDefault="00A26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AA36" w14:textId="77777777" w:rsidR="008551C0" w:rsidRDefault="00855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6C8EB" w14:textId="77777777" w:rsidR="008551C0" w:rsidRDefault="00A269E9">
    <w:pPr>
      <w:pStyle w:val="Website"/>
      <w:ind w:hanging="851"/>
      <w:rPr>
        <w:rFonts w:ascii="Arial" w:hAnsi="Arial"/>
        <w:b/>
        <w:sz w:val="24"/>
        <w:szCs w:val="24"/>
      </w:rPr>
    </w:pPr>
    <w:r>
      <w:rPr>
        <w:rFonts w:ascii="Arial" w:hAnsi="Arial"/>
        <w:b/>
        <w:sz w:val="24"/>
        <w:szCs w:val="24"/>
      </w:rPr>
      <w:t>www.britishcouncil.org</w:t>
    </w:r>
  </w:p>
  <w:p w14:paraId="6EB6C32C" w14:textId="77777777" w:rsidR="008551C0" w:rsidRDefault="00855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6B9F" w14:textId="77777777" w:rsidR="008551C0" w:rsidRDefault="00A269E9">
    <w:pPr>
      <w:pStyle w:val="Website"/>
      <w:ind w:hanging="851"/>
      <w:rPr>
        <w:rFonts w:ascii="Arial" w:hAnsi="Arial"/>
        <w:b/>
        <w:sz w:val="24"/>
        <w:szCs w:val="24"/>
      </w:rPr>
    </w:pPr>
    <w:r>
      <w:rPr>
        <w:rFonts w:ascii="Arial" w:hAnsi="Arial"/>
        <w:b/>
        <w:sz w:val="24"/>
        <w:szCs w:val="24"/>
      </w:rPr>
      <w:t>www.britishcouncil.org</w:t>
    </w:r>
  </w:p>
  <w:p w14:paraId="33F090A6" w14:textId="77777777" w:rsidR="008551C0" w:rsidRDefault="008551C0">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E4D48" w14:textId="77777777" w:rsidR="00A269E9" w:rsidRDefault="00A269E9">
      <w:r>
        <w:separator/>
      </w:r>
    </w:p>
  </w:footnote>
  <w:footnote w:type="continuationSeparator" w:id="0">
    <w:p w14:paraId="38863A0E" w14:textId="77777777" w:rsidR="00A269E9" w:rsidRDefault="00A269E9">
      <w:r>
        <w:continuationSeparator/>
      </w:r>
    </w:p>
  </w:footnote>
  <w:footnote w:type="continuationNotice" w:id="1">
    <w:p w14:paraId="68CB1DBD" w14:textId="77777777" w:rsidR="00A269E9" w:rsidRDefault="00A269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0A74" w14:textId="77777777" w:rsidR="008551C0" w:rsidRDefault="00855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2C25" w14:textId="77777777" w:rsidR="008551C0" w:rsidRDefault="008551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7D9CE" w14:textId="77777777" w:rsidR="008551C0" w:rsidRDefault="00A269E9">
    <w:pPr>
      <w:pStyle w:val="Header"/>
      <w:ind w:hanging="1800"/>
    </w:pPr>
    <w:r>
      <w:rPr>
        <w:noProof/>
      </w:rPr>
      <w:drawing>
        <wp:inline distT="0" distB="0" distL="0" distR="0" wp14:anchorId="368F4D49" wp14:editId="3294BE1D">
          <wp:extent cx="7543800" cy="1409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0F9E2" w14:textId="77777777" w:rsidR="008551C0" w:rsidRDefault="008551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67C5B" w14:textId="77777777" w:rsidR="008551C0" w:rsidRDefault="00A269E9">
    <w:pPr>
      <w:pStyle w:val="Header"/>
      <w:ind w:hanging="1800"/>
    </w:pPr>
    <w:r>
      <w:rPr>
        <w:noProof/>
      </w:rPr>
      <w:drawing>
        <wp:inline distT="0" distB="0" distL="0" distR="0" wp14:anchorId="0F4E3B26" wp14:editId="473FE7C3">
          <wp:extent cx="7572375"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6B9F" w14:textId="77777777" w:rsidR="008551C0" w:rsidRDefault="00A269E9">
    <w:pPr>
      <w:pStyle w:val="Header"/>
      <w:ind w:hanging="1800"/>
    </w:pPr>
    <w:r>
      <w:rPr>
        <w:noProof/>
      </w:rPr>
      <w:drawing>
        <wp:inline distT="0" distB="0" distL="0" distR="0" wp14:anchorId="79AAFE33" wp14:editId="2FE6ECFB">
          <wp:extent cx="7572375" cy="2438400"/>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1C0"/>
    <w:rsid w:val="00612B6E"/>
    <w:rsid w:val="008551C0"/>
    <w:rsid w:val="00A269E9"/>
    <w:rsid w:val="00DF6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37314A"/>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katarina.cezek@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r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katarina.cezek@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2.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E9CEC3-4103-400A-869A-4C053BDD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17</cp:revision>
  <dcterms:created xsi:type="dcterms:W3CDTF">2020-11-12T21:31:00Z</dcterms:created>
  <dcterms:modified xsi:type="dcterms:W3CDTF">2020-11-16T12:16:00Z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